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542CAE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F253F">
        <w:rPr>
          <w:rFonts w:asciiTheme="minorHAnsi" w:hAnsiTheme="minorHAnsi"/>
        </w:rPr>
        <w:t>the Westminster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9A045D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F253F">
        <w:rPr>
          <w:rFonts w:asciiTheme="minorHAnsi" w:hAnsiTheme="minorHAnsi"/>
        </w:rPr>
        <w:t>Lucy Henderson</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7F253F">
        <w:rPr>
          <w:rFonts w:asciiTheme="minorHAnsi" w:hAnsiTheme="minorHAnsi"/>
        </w:rPr>
        <w:t>emailing lucy.henderson@olsj.co.uk.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3AB52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7F253F">
        <w:rPr>
          <w:rFonts w:asciiTheme="minorHAnsi" w:hAnsiTheme="minorHAnsi"/>
        </w:rPr>
        <w:t>organization.</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253F"/>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245dc00d-72fd-4a13-a6f2-73b3098f14d8"/>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B0E786-1564-49DC-9F98-42B9E98D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Shanine Blom</cp:lastModifiedBy>
  <cp:revision>2</cp:revision>
  <cp:lastPrinted>2016-01-28T14:41:00Z</cp:lastPrinted>
  <dcterms:created xsi:type="dcterms:W3CDTF">2020-06-03T10:28:00Z</dcterms:created>
  <dcterms:modified xsi:type="dcterms:W3CDTF">2020-06-03T10:28:00Z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